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BA4" w:rsidRDefault="006C64BD" w:rsidP="006C64BD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907415" cy="862478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LEARN-pinwhe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76" cy="89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</w:rPr>
        <w:drawing>
          <wp:inline distT="0" distB="0" distL="0" distR="0">
            <wp:extent cx="2004926" cy="34591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LEARN-wordmar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264" cy="36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BA4" w:rsidRDefault="00A20BA4" w:rsidP="00366083">
      <w:pPr>
        <w:rPr>
          <w:rFonts w:asciiTheme="minorHAnsi" w:hAnsiTheme="minorHAnsi"/>
        </w:rPr>
      </w:pPr>
    </w:p>
    <w:p w:rsidR="00A20BA4" w:rsidRPr="00A20BA4" w:rsidRDefault="006E770D" w:rsidP="00A20BA4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Student Learning Assessment</w:t>
      </w:r>
      <w:r w:rsidR="00A20BA4" w:rsidRPr="00A20BA4">
        <w:rPr>
          <w:rFonts w:asciiTheme="minorHAnsi" w:hAnsiTheme="minorHAnsi"/>
          <w:sz w:val="28"/>
          <w:szCs w:val="28"/>
        </w:rPr>
        <w:t xml:space="preserve"> Plan </w:t>
      </w:r>
      <w:r w:rsidR="00A20BA4" w:rsidRPr="00593864">
        <w:rPr>
          <w:rFonts w:asciiTheme="minorHAnsi" w:hAnsiTheme="minorHAnsi"/>
          <w:i/>
          <w:sz w:val="28"/>
          <w:szCs w:val="28"/>
        </w:rPr>
        <w:t>Summary</w:t>
      </w:r>
    </w:p>
    <w:p w:rsidR="00FA256A" w:rsidRDefault="00FA256A" w:rsidP="00FA256A">
      <w:pPr>
        <w:rPr>
          <w:rFonts w:asciiTheme="minorHAnsi" w:hAnsiTheme="minorHAnsi"/>
          <w:b/>
        </w:rPr>
      </w:pPr>
    </w:p>
    <w:p w:rsidR="00A20BA4" w:rsidRDefault="00A20BA4" w:rsidP="00FA256A">
      <w:pPr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</w:rPr>
        <w:t xml:space="preserve">Operational Unit: </w:t>
      </w:r>
      <w:r w:rsidR="00075BC6" w:rsidRPr="00075BC6">
        <w:rPr>
          <w:rFonts w:asciiTheme="minorHAnsi" w:hAnsiTheme="minorHAnsi"/>
          <w:b/>
          <w:color w:val="0070C0"/>
        </w:rPr>
        <w:t>Engineering Graphics</w:t>
      </w:r>
      <w:r w:rsidR="00690845">
        <w:rPr>
          <w:rFonts w:asciiTheme="minorHAnsi" w:hAnsiTheme="minorHAnsi"/>
          <w:b/>
          <w:color w:val="0070C0"/>
        </w:rPr>
        <w:t xml:space="preserve"> Technology</w:t>
      </w:r>
    </w:p>
    <w:p w:rsidR="00B7574E" w:rsidRPr="00B7574E" w:rsidRDefault="00B7574E" w:rsidP="00FA256A">
      <w:pPr>
        <w:rPr>
          <w:rFonts w:asciiTheme="minorHAnsi" w:hAnsiTheme="minorHAnsi"/>
        </w:rPr>
      </w:pPr>
      <w:r w:rsidRPr="00B7574E">
        <w:rPr>
          <w:rFonts w:asciiTheme="minorHAnsi" w:hAnsiTheme="minorHAnsi"/>
          <w:color w:val="0070C0"/>
        </w:rPr>
        <w:tab/>
      </w:r>
      <w:r w:rsidRPr="00124C4E">
        <w:rPr>
          <w:rFonts w:asciiTheme="minorHAnsi" w:hAnsiTheme="minorHAnsi"/>
          <w:color w:val="0070C0"/>
          <w:sz w:val="18"/>
        </w:rPr>
        <w:t xml:space="preserve">Mission: </w:t>
      </w:r>
      <w:r w:rsidRPr="00124C4E">
        <w:rPr>
          <w:rFonts w:asciiTheme="minorHAnsi" w:hAnsiTheme="minorHAnsi"/>
          <w:b/>
          <w:color w:val="0070C0"/>
          <w:sz w:val="18"/>
        </w:rPr>
        <w:t>provide</w:t>
      </w:r>
      <w:r w:rsidRPr="00124C4E">
        <w:rPr>
          <w:rFonts w:asciiTheme="minorHAnsi" w:hAnsiTheme="minorHAnsi"/>
          <w:color w:val="0070C0"/>
          <w:sz w:val="18"/>
        </w:rPr>
        <w:t xml:space="preserve"> students with </w:t>
      </w:r>
      <w:r w:rsidRPr="00124C4E">
        <w:rPr>
          <w:rFonts w:asciiTheme="minorHAnsi" w:hAnsiTheme="minorHAnsi"/>
          <w:b/>
          <w:color w:val="0070C0"/>
          <w:sz w:val="18"/>
        </w:rPr>
        <w:t>excellent academic experience</w:t>
      </w:r>
      <w:r w:rsidRPr="00124C4E">
        <w:rPr>
          <w:rFonts w:asciiTheme="minorHAnsi" w:hAnsiTheme="minorHAnsi"/>
          <w:color w:val="0070C0"/>
          <w:sz w:val="18"/>
        </w:rPr>
        <w:t xml:space="preserve">, in order to prepare them for the workforce by teaching the skills required in their field of discipline. We do this by </w:t>
      </w:r>
      <w:r w:rsidRPr="00124C4E">
        <w:rPr>
          <w:rFonts w:asciiTheme="minorHAnsi" w:hAnsiTheme="minorHAnsi"/>
          <w:b/>
          <w:color w:val="0070C0"/>
          <w:sz w:val="18"/>
        </w:rPr>
        <w:t>developing abilities in communication, leadership, critical thinking, problem solving and teamwork.</w:t>
      </w:r>
    </w:p>
    <w:p w:rsidR="006E770D" w:rsidRDefault="006E770D" w:rsidP="00FA256A">
      <w:pPr>
        <w:rPr>
          <w:rFonts w:asciiTheme="minorHAnsi" w:hAnsiTheme="minorHAnsi"/>
          <w:b/>
        </w:rPr>
      </w:pPr>
    </w:p>
    <w:p w:rsidR="006E770D" w:rsidRDefault="00A5470E" w:rsidP="00FA256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OU broad learning goals:</w:t>
      </w:r>
    </w:p>
    <w:p w:rsidR="001057C5" w:rsidRPr="00124C4E" w:rsidRDefault="00D04C25" w:rsidP="00A5470E">
      <w:pPr>
        <w:numPr>
          <w:ilvl w:val="0"/>
          <w:numId w:val="12"/>
        </w:numPr>
        <w:rPr>
          <w:rFonts w:asciiTheme="minorHAnsi" w:hAnsiTheme="minorHAnsi"/>
          <w:sz w:val="18"/>
        </w:rPr>
      </w:pPr>
      <w:r w:rsidRPr="00124C4E">
        <w:rPr>
          <w:rFonts w:asciiTheme="minorHAnsi" w:hAnsiTheme="minorHAnsi"/>
          <w:sz w:val="18"/>
        </w:rPr>
        <w:t>Student success</w:t>
      </w:r>
    </w:p>
    <w:p w:rsidR="001057C5" w:rsidRPr="00124C4E" w:rsidRDefault="00D04C25" w:rsidP="00A5470E">
      <w:pPr>
        <w:numPr>
          <w:ilvl w:val="0"/>
          <w:numId w:val="12"/>
        </w:numPr>
        <w:rPr>
          <w:rFonts w:asciiTheme="minorHAnsi" w:hAnsiTheme="minorHAnsi"/>
          <w:sz w:val="18"/>
        </w:rPr>
      </w:pPr>
      <w:r w:rsidRPr="00124C4E">
        <w:rPr>
          <w:rFonts w:asciiTheme="minorHAnsi" w:hAnsiTheme="minorHAnsi"/>
          <w:sz w:val="18"/>
        </w:rPr>
        <w:t>Industry outreach</w:t>
      </w:r>
    </w:p>
    <w:p w:rsidR="001057C5" w:rsidRPr="00124C4E" w:rsidRDefault="00D04C25" w:rsidP="00A5470E">
      <w:pPr>
        <w:numPr>
          <w:ilvl w:val="0"/>
          <w:numId w:val="12"/>
        </w:numPr>
        <w:rPr>
          <w:rFonts w:asciiTheme="minorHAnsi" w:hAnsiTheme="minorHAnsi"/>
          <w:sz w:val="18"/>
        </w:rPr>
      </w:pPr>
      <w:r w:rsidRPr="00124C4E">
        <w:rPr>
          <w:rFonts w:asciiTheme="minorHAnsi" w:hAnsiTheme="minorHAnsi"/>
          <w:sz w:val="18"/>
        </w:rPr>
        <w:t>Strengthen program offerings</w:t>
      </w:r>
    </w:p>
    <w:p w:rsidR="006E770D" w:rsidRPr="00124C4E" w:rsidRDefault="00D04C25" w:rsidP="006E770D">
      <w:pPr>
        <w:numPr>
          <w:ilvl w:val="0"/>
          <w:numId w:val="12"/>
        </w:numPr>
        <w:rPr>
          <w:rFonts w:asciiTheme="minorHAnsi" w:hAnsiTheme="minorHAnsi"/>
          <w:sz w:val="18"/>
        </w:rPr>
      </w:pPr>
      <w:r w:rsidRPr="00124C4E">
        <w:rPr>
          <w:rFonts w:asciiTheme="minorHAnsi" w:hAnsiTheme="minorHAnsi"/>
          <w:sz w:val="18"/>
        </w:rPr>
        <w:t>Maintain adjunct faculty related to industry</w:t>
      </w:r>
      <w:r w:rsidR="00A20BA4" w:rsidRPr="00124C4E">
        <w:rPr>
          <w:rFonts w:asciiTheme="minorHAnsi" w:hAnsiTheme="minorHAnsi"/>
          <w:b/>
          <w:sz w:val="10"/>
          <w:szCs w:val="16"/>
        </w:rPr>
        <w:t xml:space="preserve">                                </w:t>
      </w:r>
    </w:p>
    <w:p w:rsidR="006E770D" w:rsidRDefault="006E770D" w:rsidP="006E770D">
      <w:pPr>
        <w:rPr>
          <w:rFonts w:asciiTheme="minorHAnsi" w:hAnsiTheme="minorHAnsi"/>
          <w:b/>
          <w:sz w:val="16"/>
          <w:szCs w:val="16"/>
        </w:rPr>
      </w:pPr>
    </w:p>
    <w:p w:rsidR="001C1D03" w:rsidRDefault="001C1D03" w:rsidP="006E770D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948067" wp14:editId="750EDD1C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6158865" cy="0"/>
                <wp:effectExtent l="0" t="0" r="323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07938" id="Straight Connector 4" o:spid="_x0000_s1026" style="position:absolute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9pt" to="484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20BA4" w:rsidRPr="006E770D" w:rsidRDefault="00DE6E2B" w:rsidP="006E770D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</w:rPr>
        <w:t xml:space="preserve">Step 1: </w:t>
      </w:r>
      <w:r w:rsidR="006E770D">
        <w:rPr>
          <w:rFonts w:asciiTheme="minorHAnsi" w:hAnsiTheme="minorHAnsi"/>
          <w:b/>
        </w:rPr>
        <w:t>Provide a narrative</w:t>
      </w:r>
      <w:r w:rsidR="006E770D" w:rsidRPr="006E770D">
        <w:rPr>
          <w:rFonts w:asciiTheme="minorHAnsi" w:hAnsiTheme="minorHAnsi"/>
          <w:b/>
        </w:rPr>
        <w:t xml:space="preserve"> overview of the assessment process. </w:t>
      </w:r>
    </w:p>
    <w:p w:rsidR="006E770D" w:rsidRPr="00E0443B" w:rsidRDefault="00E0443B" w:rsidP="00E0443B">
      <w:pPr>
        <w:ind w:left="360"/>
        <w:rPr>
          <w:rFonts w:asciiTheme="minorHAnsi" w:hAnsiTheme="minorHAnsi"/>
          <w:color w:val="AEAAAA" w:themeColor="background2" w:themeShade="BF"/>
          <w:sz w:val="18"/>
          <w:szCs w:val="16"/>
        </w:rPr>
      </w:pPr>
      <w:r w:rsidRPr="00E0443B">
        <w:rPr>
          <w:rFonts w:asciiTheme="minorHAnsi" w:hAnsiTheme="minorHAnsi"/>
          <w:sz w:val="18"/>
          <w:szCs w:val="16"/>
        </w:rPr>
        <w:t xml:space="preserve">Starting with this process, </w:t>
      </w:r>
      <w:r w:rsidR="00A5470E" w:rsidRPr="00E0443B">
        <w:rPr>
          <w:rFonts w:asciiTheme="minorHAnsi" w:hAnsiTheme="minorHAnsi"/>
          <w:sz w:val="18"/>
          <w:szCs w:val="16"/>
        </w:rPr>
        <w:t>CAD101 and CAD</w:t>
      </w:r>
      <w:r w:rsidR="002C020D" w:rsidRPr="00E0443B">
        <w:rPr>
          <w:rFonts w:asciiTheme="minorHAnsi" w:hAnsiTheme="minorHAnsi"/>
          <w:sz w:val="18"/>
          <w:szCs w:val="16"/>
        </w:rPr>
        <w:t xml:space="preserve">120; </w:t>
      </w:r>
      <w:r>
        <w:rPr>
          <w:rFonts w:asciiTheme="minorHAnsi" w:hAnsiTheme="minorHAnsi"/>
          <w:sz w:val="18"/>
          <w:szCs w:val="16"/>
        </w:rPr>
        <w:t xml:space="preserve">or </w:t>
      </w:r>
      <w:r w:rsidR="002C020D" w:rsidRPr="00E0443B">
        <w:rPr>
          <w:rFonts w:asciiTheme="minorHAnsi" w:hAnsiTheme="minorHAnsi"/>
          <w:sz w:val="18"/>
          <w:szCs w:val="16"/>
        </w:rPr>
        <w:t>maybe CAD</w:t>
      </w:r>
      <w:r w:rsidR="00A66EE2" w:rsidRPr="00E0443B">
        <w:rPr>
          <w:rFonts w:asciiTheme="minorHAnsi" w:hAnsiTheme="minorHAnsi"/>
          <w:sz w:val="18"/>
          <w:szCs w:val="16"/>
        </w:rPr>
        <w:t>224</w:t>
      </w:r>
      <w:r>
        <w:rPr>
          <w:rFonts w:asciiTheme="minorHAnsi" w:hAnsiTheme="minorHAnsi"/>
          <w:sz w:val="18"/>
          <w:szCs w:val="16"/>
        </w:rPr>
        <w:t xml:space="preserve"> will be the courses to pilot. </w:t>
      </w:r>
    </w:p>
    <w:p w:rsidR="00E97B7D" w:rsidRPr="00124C4E" w:rsidRDefault="00A5470E" w:rsidP="00DC2DB4">
      <w:pPr>
        <w:ind w:left="360"/>
        <w:rPr>
          <w:rFonts w:asciiTheme="minorHAnsi" w:hAnsiTheme="minorHAnsi"/>
          <w:color w:val="AEAAAA" w:themeColor="background2" w:themeShade="BF"/>
          <w:sz w:val="18"/>
          <w:szCs w:val="16"/>
        </w:rPr>
      </w:pPr>
      <w:r w:rsidRPr="00E0443B">
        <w:rPr>
          <w:rFonts w:asciiTheme="minorHAnsi" w:hAnsiTheme="minorHAnsi"/>
          <w:sz w:val="18"/>
          <w:szCs w:val="16"/>
        </w:rPr>
        <w:t>All instructors teaching these courses, and advisory members</w:t>
      </w:r>
      <w:r w:rsidR="00E0443B" w:rsidRPr="00E0443B">
        <w:rPr>
          <w:rFonts w:asciiTheme="minorHAnsi" w:hAnsiTheme="minorHAnsi"/>
          <w:sz w:val="18"/>
          <w:szCs w:val="16"/>
        </w:rPr>
        <w:t xml:space="preserve"> will be evaluating and assessing the results. To </w:t>
      </w:r>
      <w:r w:rsidR="00E0443B">
        <w:rPr>
          <w:rFonts w:asciiTheme="minorHAnsi" w:hAnsiTheme="minorHAnsi"/>
          <w:sz w:val="18"/>
          <w:szCs w:val="16"/>
        </w:rPr>
        <w:t xml:space="preserve">be able to start the assessment process, we will </w:t>
      </w:r>
      <w:r w:rsidR="00DC2DB4">
        <w:rPr>
          <w:rFonts w:asciiTheme="minorHAnsi" w:hAnsiTheme="minorHAnsi"/>
          <w:sz w:val="18"/>
          <w:szCs w:val="16"/>
        </w:rPr>
        <w:t>f</w:t>
      </w:r>
      <w:r w:rsidR="00DF0161" w:rsidRPr="00124C4E">
        <w:rPr>
          <w:rFonts w:asciiTheme="minorHAnsi" w:hAnsiTheme="minorHAnsi"/>
          <w:sz w:val="18"/>
          <w:szCs w:val="16"/>
        </w:rPr>
        <w:t>ind out what students services at RRCC are availab</w:t>
      </w:r>
      <w:r w:rsidR="007D7CC2">
        <w:rPr>
          <w:rFonts w:asciiTheme="minorHAnsi" w:hAnsiTheme="minorHAnsi"/>
          <w:sz w:val="18"/>
          <w:szCs w:val="16"/>
        </w:rPr>
        <w:t xml:space="preserve">le list them and present them to </w:t>
      </w:r>
      <w:r w:rsidR="00DF0161" w:rsidRPr="00124C4E">
        <w:rPr>
          <w:rFonts w:asciiTheme="minorHAnsi" w:hAnsiTheme="minorHAnsi"/>
          <w:sz w:val="18"/>
          <w:szCs w:val="16"/>
        </w:rPr>
        <w:t>students (post in lab and use D2L</w:t>
      </w:r>
      <w:r w:rsidR="007D7CC2">
        <w:rPr>
          <w:rFonts w:asciiTheme="minorHAnsi" w:hAnsiTheme="minorHAnsi"/>
          <w:sz w:val="18"/>
          <w:szCs w:val="16"/>
        </w:rPr>
        <w:t xml:space="preserve"> course</w:t>
      </w:r>
      <w:r w:rsidR="00DF0161" w:rsidRPr="00124C4E">
        <w:rPr>
          <w:rFonts w:asciiTheme="minorHAnsi" w:hAnsiTheme="minorHAnsi"/>
          <w:sz w:val="18"/>
          <w:szCs w:val="16"/>
        </w:rPr>
        <w:t>). Do a walk around campus to find out where everything is located. T</w:t>
      </w:r>
      <w:r w:rsidR="007D7CC2">
        <w:rPr>
          <w:rFonts w:asciiTheme="minorHAnsi" w:hAnsiTheme="minorHAnsi"/>
          <w:sz w:val="18"/>
          <w:szCs w:val="16"/>
        </w:rPr>
        <w:t>he assessment will consist o</w:t>
      </w:r>
      <w:r w:rsidR="00A66EE2" w:rsidRPr="00124C4E">
        <w:rPr>
          <w:rFonts w:asciiTheme="minorHAnsi" w:hAnsiTheme="minorHAnsi"/>
          <w:sz w:val="18"/>
          <w:szCs w:val="16"/>
        </w:rPr>
        <w:t xml:space="preserve">n observations (responding to </w:t>
      </w:r>
      <w:r w:rsidR="007D7CC2">
        <w:rPr>
          <w:rFonts w:asciiTheme="minorHAnsi" w:hAnsiTheme="minorHAnsi"/>
          <w:sz w:val="18"/>
          <w:szCs w:val="16"/>
        </w:rPr>
        <w:t xml:space="preserve">a created </w:t>
      </w:r>
      <w:r w:rsidR="00A66EE2" w:rsidRPr="00124C4E">
        <w:rPr>
          <w:rFonts w:asciiTheme="minorHAnsi" w:hAnsiTheme="minorHAnsi"/>
          <w:sz w:val="18"/>
          <w:szCs w:val="16"/>
        </w:rPr>
        <w:t>questionnaire</w:t>
      </w:r>
      <w:r w:rsidR="007D7CC2">
        <w:rPr>
          <w:rFonts w:asciiTheme="minorHAnsi" w:hAnsiTheme="minorHAnsi"/>
          <w:sz w:val="18"/>
          <w:szCs w:val="16"/>
        </w:rPr>
        <w:t xml:space="preserve"> to respond for each class</w:t>
      </w:r>
      <w:r w:rsidR="00A66EE2" w:rsidRPr="00124C4E">
        <w:rPr>
          <w:rFonts w:asciiTheme="minorHAnsi" w:hAnsiTheme="minorHAnsi"/>
          <w:sz w:val="18"/>
          <w:szCs w:val="16"/>
        </w:rPr>
        <w:t xml:space="preserve">), </w:t>
      </w:r>
      <w:r w:rsidR="00DF0161" w:rsidRPr="00124C4E">
        <w:rPr>
          <w:rFonts w:asciiTheme="minorHAnsi" w:hAnsiTheme="minorHAnsi"/>
          <w:sz w:val="18"/>
          <w:szCs w:val="16"/>
        </w:rPr>
        <w:t>collect and analyze data to make improvement/adjustments to next semester’s class.</w:t>
      </w:r>
    </w:p>
    <w:p w:rsidR="001C1D03" w:rsidRPr="007D7CC2" w:rsidRDefault="007D7CC2" w:rsidP="007D7CC2">
      <w:pPr>
        <w:ind w:left="360"/>
        <w:rPr>
          <w:rFonts w:asciiTheme="minorHAnsi" w:hAnsiTheme="minorHAnsi"/>
          <w:color w:val="AEAAAA" w:themeColor="background2" w:themeShade="BF"/>
          <w:sz w:val="18"/>
          <w:szCs w:val="16"/>
        </w:rPr>
      </w:pPr>
      <w:r>
        <w:rPr>
          <w:rFonts w:asciiTheme="minorHAnsi" w:hAnsiTheme="minorHAnsi"/>
          <w:sz w:val="18"/>
          <w:szCs w:val="16"/>
        </w:rPr>
        <w:t>Associated with this process we will c</w:t>
      </w:r>
      <w:r w:rsidR="00E43C72" w:rsidRPr="007D7CC2">
        <w:rPr>
          <w:rFonts w:asciiTheme="minorHAnsi" w:hAnsiTheme="minorHAnsi"/>
          <w:sz w:val="18"/>
          <w:szCs w:val="16"/>
        </w:rPr>
        <w:t>heck for webinars, conferences or professional training related to software program skills for the instructor.</w:t>
      </w:r>
    </w:p>
    <w:p w:rsidR="001C1D03" w:rsidRDefault="001C1D03" w:rsidP="00593864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6FC73" wp14:editId="7F0F873D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6158865" cy="0"/>
                <wp:effectExtent l="0" t="0" r="3238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AC733" id="Straight Connector 7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3pt" to="484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593864" w:rsidRPr="00593864" w:rsidRDefault="00DE6E2B" w:rsidP="00593864">
      <w:pPr>
        <w:rPr>
          <w:rFonts w:asciiTheme="minorHAnsi" w:hAnsiTheme="minorHAnsi"/>
          <w:color w:val="AEAAAA" w:themeColor="background2" w:themeShade="BF"/>
          <w:sz w:val="16"/>
          <w:szCs w:val="16"/>
        </w:rPr>
      </w:pPr>
      <w:r>
        <w:rPr>
          <w:rFonts w:asciiTheme="minorHAnsi" w:hAnsiTheme="minorHAnsi"/>
          <w:b/>
        </w:rPr>
        <w:t xml:space="preserve">Step 2: </w:t>
      </w:r>
      <w:r w:rsidR="00593864">
        <w:rPr>
          <w:rFonts w:asciiTheme="minorHAnsi" w:hAnsiTheme="minorHAnsi"/>
          <w:b/>
        </w:rPr>
        <w:t>Specific Student Learning Outcomes</w:t>
      </w:r>
    </w:p>
    <w:p w:rsidR="006E770D" w:rsidRDefault="00BB2E74" w:rsidP="00A4422C">
      <w:pPr>
        <w:ind w:left="450"/>
        <w:rPr>
          <w:rFonts w:asciiTheme="minorHAnsi" w:hAnsiTheme="minorHAnsi"/>
          <w:sz w:val="18"/>
          <w:szCs w:val="16"/>
        </w:rPr>
      </w:pPr>
      <w:r w:rsidRPr="00BB2E74">
        <w:rPr>
          <w:rFonts w:asciiTheme="minorHAnsi" w:hAnsiTheme="minorHAnsi"/>
          <w:sz w:val="18"/>
          <w:szCs w:val="16"/>
        </w:rPr>
        <w:t xml:space="preserve">The specific Student Learning Outcomes </w:t>
      </w:r>
      <w:r>
        <w:rPr>
          <w:rFonts w:asciiTheme="minorHAnsi" w:hAnsiTheme="minorHAnsi"/>
          <w:sz w:val="18"/>
          <w:szCs w:val="16"/>
        </w:rPr>
        <w:t>in the evaluation measure are</w:t>
      </w:r>
      <w:r w:rsidRPr="00BB2E74">
        <w:rPr>
          <w:rFonts w:asciiTheme="minorHAnsi" w:hAnsiTheme="minorHAnsi"/>
          <w:sz w:val="18"/>
          <w:szCs w:val="16"/>
        </w:rPr>
        <w:t xml:space="preserve">: </w:t>
      </w:r>
      <w:r w:rsidR="009E1D8D" w:rsidRPr="00BB2E74">
        <w:rPr>
          <w:rFonts w:asciiTheme="minorHAnsi" w:hAnsiTheme="minorHAnsi"/>
          <w:sz w:val="18"/>
          <w:szCs w:val="16"/>
        </w:rPr>
        <w:t>Critical Thinker, Technologically Literate, and Effective Communicator</w:t>
      </w:r>
      <w:r>
        <w:rPr>
          <w:rFonts w:asciiTheme="minorHAnsi" w:hAnsiTheme="minorHAnsi"/>
          <w:sz w:val="18"/>
          <w:szCs w:val="16"/>
        </w:rPr>
        <w:t>.</w:t>
      </w:r>
    </w:p>
    <w:p w:rsidR="00716D27" w:rsidRPr="00124C4E" w:rsidRDefault="00A4422C" w:rsidP="00A4422C">
      <w:pPr>
        <w:ind w:left="450"/>
        <w:rPr>
          <w:rFonts w:asciiTheme="minorHAnsi" w:hAnsiTheme="minorHAnsi"/>
          <w:color w:val="AEAAAA" w:themeColor="background2" w:themeShade="BF"/>
          <w:sz w:val="18"/>
          <w:szCs w:val="16"/>
        </w:rPr>
      </w:pPr>
      <w:r>
        <w:rPr>
          <w:rFonts w:asciiTheme="minorHAnsi" w:hAnsiTheme="minorHAnsi"/>
          <w:sz w:val="18"/>
          <w:szCs w:val="16"/>
        </w:rPr>
        <w:t xml:space="preserve">Student Learning Outcomes specifically to evaluate are </w:t>
      </w:r>
      <w:r w:rsidR="00B52087" w:rsidRPr="00124C4E">
        <w:rPr>
          <w:rFonts w:asciiTheme="minorHAnsi" w:hAnsiTheme="minorHAnsi"/>
          <w:sz w:val="18"/>
          <w:szCs w:val="16"/>
        </w:rPr>
        <w:t>rom the OU mission statement: c</w:t>
      </w:r>
      <w:r w:rsidR="00AE7124" w:rsidRPr="00124C4E">
        <w:rPr>
          <w:rFonts w:asciiTheme="minorHAnsi" w:hAnsiTheme="minorHAnsi"/>
          <w:bCs/>
          <w:sz w:val="18"/>
          <w:szCs w:val="16"/>
        </w:rPr>
        <w:t>ommunication, leadership, critical thinking, problem solving and teamwork.</w:t>
      </w:r>
    </w:p>
    <w:p w:rsidR="001C1D03" w:rsidRPr="00E327B3" w:rsidRDefault="001C1D03" w:rsidP="00E327B3">
      <w:pPr>
        <w:ind w:left="360"/>
        <w:rPr>
          <w:rFonts w:asciiTheme="minorHAnsi" w:hAnsiTheme="minorHAnsi"/>
          <w:color w:val="AEAAAA" w:themeColor="background2" w:themeShade="BF"/>
          <w:sz w:val="16"/>
          <w:szCs w:val="16"/>
        </w:rPr>
      </w:pPr>
    </w:p>
    <w:p w:rsidR="001C1D03" w:rsidRDefault="001C1D03" w:rsidP="006E770D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953A6" wp14:editId="730AE75C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6158865" cy="0"/>
                <wp:effectExtent l="0" t="0" r="3238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6B8C3" id="Straight Connector 8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15pt" to="484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6E770D" w:rsidRDefault="00DE6E2B" w:rsidP="006E770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Step 3: </w:t>
      </w:r>
      <w:r w:rsidR="00E55279">
        <w:rPr>
          <w:rFonts w:asciiTheme="minorHAnsi" w:hAnsiTheme="minorHAnsi"/>
          <w:b/>
        </w:rPr>
        <w:t xml:space="preserve">Describe the measurement tool. </w:t>
      </w:r>
    </w:p>
    <w:p w:rsidR="006E770D" w:rsidRDefault="00806BE7" w:rsidP="00806BE7">
      <w:pPr>
        <w:ind w:left="450"/>
        <w:rPr>
          <w:rFonts w:asciiTheme="minorHAnsi" w:hAnsiTheme="minorHAnsi"/>
          <w:sz w:val="18"/>
          <w:szCs w:val="16"/>
        </w:rPr>
      </w:pPr>
      <w:r w:rsidRPr="00806BE7">
        <w:rPr>
          <w:rFonts w:asciiTheme="minorHAnsi" w:hAnsiTheme="minorHAnsi"/>
          <w:sz w:val="18"/>
          <w:szCs w:val="16"/>
        </w:rPr>
        <w:t xml:space="preserve">The </w:t>
      </w:r>
      <w:r w:rsidR="00E55279" w:rsidRPr="00806BE7">
        <w:rPr>
          <w:rFonts w:asciiTheme="minorHAnsi" w:hAnsiTheme="minorHAnsi"/>
          <w:sz w:val="18"/>
          <w:szCs w:val="16"/>
        </w:rPr>
        <w:t xml:space="preserve">measurement tool </w:t>
      </w:r>
      <w:r w:rsidRPr="00806BE7">
        <w:rPr>
          <w:rFonts w:asciiTheme="minorHAnsi" w:hAnsiTheme="minorHAnsi"/>
          <w:sz w:val="18"/>
          <w:szCs w:val="16"/>
        </w:rPr>
        <w:t xml:space="preserve">most appropriate for the course nature will be </w:t>
      </w:r>
      <w:r w:rsidR="00E55279" w:rsidRPr="00806BE7">
        <w:rPr>
          <w:rFonts w:asciiTheme="minorHAnsi" w:hAnsiTheme="minorHAnsi"/>
          <w:sz w:val="18"/>
          <w:szCs w:val="16"/>
        </w:rPr>
        <w:t xml:space="preserve">will be </w:t>
      </w:r>
      <w:r w:rsidRPr="00806BE7">
        <w:rPr>
          <w:rFonts w:asciiTheme="minorHAnsi" w:hAnsiTheme="minorHAnsi"/>
          <w:sz w:val="18"/>
          <w:szCs w:val="16"/>
        </w:rPr>
        <w:t>observations, quizzes, surveys distributed to students, and other pertinent tools like: completing</w:t>
      </w:r>
      <w:r w:rsidR="00C918C2" w:rsidRPr="00806BE7">
        <w:rPr>
          <w:rFonts w:asciiTheme="minorHAnsi" w:hAnsiTheme="minorHAnsi"/>
          <w:sz w:val="18"/>
          <w:szCs w:val="16"/>
        </w:rPr>
        <w:t xml:space="preserve"> assignments –drawings with all ASME specs and annotations, quizzes, observation during class lab time, and survey at the end of the class (semester)</w:t>
      </w:r>
      <w:r>
        <w:rPr>
          <w:rFonts w:asciiTheme="minorHAnsi" w:hAnsiTheme="minorHAnsi"/>
          <w:sz w:val="18"/>
          <w:szCs w:val="16"/>
        </w:rPr>
        <w:t>.</w:t>
      </w:r>
    </w:p>
    <w:p w:rsidR="00E55279" w:rsidRPr="00124C4E" w:rsidRDefault="00806BE7" w:rsidP="00806BE7">
      <w:pPr>
        <w:ind w:left="450"/>
        <w:rPr>
          <w:rFonts w:asciiTheme="minorHAnsi" w:hAnsiTheme="minorHAnsi"/>
          <w:color w:val="AEAAAA" w:themeColor="background2" w:themeShade="BF"/>
          <w:sz w:val="18"/>
          <w:szCs w:val="16"/>
        </w:rPr>
      </w:pPr>
      <w:r>
        <w:rPr>
          <w:rFonts w:asciiTheme="minorHAnsi" w:hAnsiTheme="minorHAnsi"/>
          <w:sz w:val="18"/>
          <w:szCs w:val="16"/>
        </w:rPr>
        <w:t xml:space="preserve">The timeframe of the evaluation is: </w:t>
      </w:r>
      <w:r w:rsidR="00C918C2" w:rsidRPr="00124C4E">
        <w:rPr>
          <w:rFonts w:asciiTheme="minorHAnsi" w:hAnsiTheme="minorHAnsi"/>
          <w:sz w:val="18"/>
          <w:szCs w:val="16"/>
        </w:rPr>
        <w:t>Fall 2017</w:t>
      </w:r>
      <w:r w:rsidR="005220E1" w:rsidRPr="00124C4E">
        <w:rPr>
          <w:rFonts w:asciiTheme="minorHAnsi" w:hAnsiTheme="minorHAnsi"/>
          <w:sz w:val="18"/>
          <w:szCs w:val="16"/>
        </w:rPr>
        <w:t xml:space="preserve"> to </w:t>
      </w:r>
      <w:r w:rsidR="006A37AA">
        <w:rPr>
          <w:rFonts w:asciiTheme="minorHAnsi" w:hAnsiTheme="minorHAnsi"/>
          <w:sz w:val="18"/>
          <w:szCs w:val="16"/>
        </w:rPr>
        <w:t>S</w:t>
      </w:r>
      <w:bookmarkStart w:id="0" w:name="_GoBack"/>
      <w:bookmarkEnd w:id="0"/>
      <w:r w:rsidR="006A37AA" w:rsidRPr="00124C4E">
        <w:rPr>
          <w:rFonts w:asciiTheme="minorHAnsi" w:hAnsiTheme="minorHAnsi"/>
          <w:sz w:val="18"/>
          <w:szCs w:val="16"/>
        </w:rPr>
        <w:t>pring</w:t>
      </w:r>
      <w:r w:rsidR="005220E1" w:rsidRPr="00124C4E">
        <w:rPr>
          <w:rFonts w:asciiTheme="minorHAnsi" w:hAnsiTheme="minorHAnsi"/>
          <w:sz w:val="18"/>
          <w:szCs w:val="16"/>
        </w:rPr>
        <w:t xml:space="preserve"> 2018</w:t>
      </w:r>
    </w:p>
    <w:p w:rsidR="00E55279" w:rsidRDefault="00E55279" w:rsidP="00E55279">
      <w:pPr>
        <w:pStyle w:val="ListParagraph"/>
        <w:rPr>
          <w:rFonts w:asciiTheme="minorHAnsi" w:hAnsiTheme="minorHAnsi"/>
          <w:b/>
        </w:rPr>
      </w:pPr>
    </w:p>
    <w:p w:rsidR="00593864" w:rsidRDefault="00DE6E2B" w:rsidP="0059386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593864">
        <w:rPr>
          <w:rFonts w:asciiTheme="minorHAnsi" w:hAnsiTheme="minorHAnsi"/>
          <w:b/>
        </w:rPr>
        <w:t xml:space="preserve">Describe the evaluation tool. </w:t>
      </w:r>
    </w:p>
    <w:p w:rsidR="00593864" w:rsidRPr="0064339A" w:rsidRDefault="00E327B3" w:rsidP="0064339A">
      <w:pPr>
        <w:ind w:left="450"/>
        <w:rPr>
          <w:rFonts w:asciiTheme="minorHAnsi" w:hAnsiTheme="minorHAnsi"/>
          <w:color w:val="AEAAAA" w:themeColor="background2" w:themeShade="BF"/>
          <w:sz w:val="18"/>
          <w:szCs w:val="16"/>
        </w:rPr>
      </w:pPr>
      <w:r w:rsidRPr="0064339A">
        <w:rPr>
          <w:rFonts w:asciiTheme="minorHAnsi" w:hAnsiTheme="minorHAnsi"/>
          <w:sz w:val="18"/>
          <w:szCs w:val="16"/>
        </w:rPr>
        <w:t>Rubric</w:t>
      </w:r>
      <w:r w:rsidR="00203AB4" w:rsidRPr="0064339A">
        <w:rPr>
          <w:rFonts w:asciiTheme="minorHAnsi" w:hAnsiTheme="minorHAnsi"/>
          <w:sz w:val="18"/>
          <w:szCs w:val="16"/>
        </w:rPr>
        <w:t>/checklist to be created</w:t>
      </w:r>
      <w:r w:rsidR="0063653A" w:rsidRPr="0064339A">
        <w:rPr>
          <w:rFonts w:asciiTheme="minorHAnsi" w:hAnsiTheme="minorHAnsi"/>
          <w:sz w:val="18"/>
          <w:szCs w:val="16"/>
        </w:rPr>
        <w:t xml:space="preserve"> for students so they know what </w:t>
      </w:r>
      <w:r w:rsidR="00203AB4" w:rsidRPr="0064339A">
        <w:rPr>
          <w:rFonts w:asciiTheme="minorHAnsi" w:hAnsiTheme="minorHAnsi"/>
          <w:sz w:val="18"/>
          <w:szCs w:val="16"/>
        </w:rPr>
        <w:t>they should expect from each lesson/</w:t>
      </w:r>
      <w:r w:rsidR="0063653A" w:rsidRPr="0064339A">
        <w:rPr>
          <w:rFonts w:asciiTheme="minorHAnsi" w:hAnsiTheme="minorHAnsi"/>
          <w:sz w:val="18"/>
          <w:szCs w:val="16"/>
        </w:rPr>
        <w:t>assignment</w:t>
      </w:r>
      <w:r w:rsidRPr="0064339A">
        <w:rPr>
          <w:rFonts w:asciiTheme="minorHAnsi" w:hAnsiTheme="minorHAnsi"/>
          <w:sz w:val="18"/>
          <w:szCs w:val="16"/>
        </w:rPr>
        <w:t>. Instructors’ check list and</w:t>
      </w:r>
      <w:r w:rsidR="00203AB4" w:rsidRPr="0064339A">
        <w:rPr>
          <w:rFonts w:asciiTheme="minorHAnsi" w:hAnsiTheme="minorHAnsi"/>
          <w:sz w:val="18"/>
          <w:szCs w:val="16"/>
        </w:rPr>
        <w:t>/or</w:t>
      </w:r>
      <w:r w:rsidRPr="0064339A">
        <w:rPr>
          <w:rFonts w:asciiTheme="minorHAnsi" w:hAnsiTheme="minorHAnsi"/>
          <w:sz w:val="18"/>
          <w:szCs w:val="16"/>
        </w:rPr>
        <w:t xml:space="preserve"> rubric with list of what constitutes different levels of learning and applying skills like: poor, good, average, outstanding</w:t>
      </w:r>
      <w:r w:rsidR="00203AB4" w:rsidRPr="0064339A">
        <w:rPr>
          <w:rFonts w:asciiTheme="minorHAnsi" w:hAnsiTheme="minorHAnsi"/>
          <w:sz w:val="18"/>
          <w:szCs w:val="16"/>
        </w:rPr>
        <w:t>. It may include some substitutions on the criteria.</w:t>
      </w:r>
    </w:p>
    <w:p w:rsidR="001C1D03" w:rsidRDefault="001C1D03" w:rsidP="00122BEF">
      <w:pPr>
        <w:rPr>
          <w:rFonts w:asciiTheme="minorHAnsi" w:hAnsiTheme="minorHAnsi"/>
          <w:b/>
        </w:rPr>
      </w:pPr>
    </w:p>
    <w:p w:rsidR="001C1D03" w:rsidRDefault="001C1D03" w:rsidP="00AE7124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69F37" wp14:editId="1A170083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6159062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0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8AF20" id="Straight Connector 3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65pt" to="484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122BEF" w:rsidRPr="00122BEF" w:rsidRDefault="00DE6E2B" w:rsidP="00122BE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Step 4: </w:t>
      </w:r>
      <w:r w:rsidR="00122BEF">
        <w:rPr>
          <w:rFonts w:asciiTheme="minorHAnsi" w:hAnsiTheme="minorHAnsi"/>
          <w:b/>
        </w:rPr>
        <w:t>Baseline Data</w:t>
      </w:r>
      <w:r w:rsidR="00E97B7D">
        <w:rPr>
          <w:rFonts w:asciiTheme="minorHAnsi" w:hAnsiTheme="minorHAnsi"/>
          <w:b/>
        </w:rPr>
        <w:t xml:space="preserve"> </w:t>
      </w:r>
    </w:p>
    <w:p w:rsidR="00122BEF" w:rsidRPr="00124C4E" w:rsidRDefault="00122BEF" w:rsidP="00D66837">
      <w:pPr>
        <w:pStyle w:val="ListParagraph"/>
        <w:numPr>
          <w:ilvl w:val="0"/>
          <w:numId w:val="9"/>
        </w:numPr>
        <w:rPr>
          <w:rFonts w:asciiTheme="minorHAnsi" w:hAnsiTheme="minorHAnsi"/>
          <w:color w:val="AEAAAA" w:themeColor="background2" w:themeShade="BF"/>
          <w:sz w:val="18"/>
          <w:szCs w:val="16"/>
        </w:rPr>
      </w:pPr>
      <w:r w:rsidRPr="00124C4E">
        <w:rPr>
          <w:rFonts w:asciiTheme="minorHAnsi" w:hAnsiTheme="minorHAnsi"/>
          <w:color w:val="AEAAAA" w:themeColor="background2" w:themeShade="BF"/>
          <w:sz w:val="18"/>
          <w:szCs w:val="16"/>
        </w:rPr>
        <w:t>Summarize the baseline results</w:t>
      </w:r>
    </w:p>
    <w:p w:rsidR="00E97B7D" w:rsidRPr="00124C4E" w:rsidRDefault="00D66837" w:rsidP="00D66837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8"/>
        </w:rPr>
      </w:pPr>
      <w:r w:rsidRPr="00124C4E">
        <w:rPr>
          <w:rFonts w:asciiTheme="minorHAnsi" w:hAnsiTheme="minorHAnsi"/>
          <w:color w:val="AEAAAA" w:themeColor="background2" w:themeShade="BF"/>
          <w:sz w:val="18"/>
          <w:szCs w:val="16"/>
        </w:rPr>
        <w:t>Describe the action plan and implementation strategies for improvement</w:t>
      </w:r>
    </w:p>
    <w:p w:rsidR="00D66837" w:rsidRPr="00124C4E" w:rsidRDefault="00D66837" w:rsidP="00D66837">
      <w:pPr>
        <w:pStyle w:val="ListParagraph"/>
        <w:numPr>
          <w:ilvl w:val="0"/>
          <w:numId w:val="9"/>
        </w:numPr>
        <w:rPr>
          <w:rFonts w:asciiTheme="minorHAnsi" w:hAnsiTheme="minorHAnsi"/>
          <w:color w:val="AEAAAA" w:themeColor="background2" w:themeShade="BF"/>
          <w:sz w:val="18"/>
          <w:szCs w:val="16"/>
        </w:rPr>
      </w:pPr>
      <w:r w:rsidRPr="00124C4E">
        <w:rPr>
          <w:rFonts w:asciiTheme="minorHAnsi" w:hAnsiTheme="minorHAnsi"/>
          <w:color w:val="AEAAAA" w:themeColor="background2" w:themeShade="BF"/>
          <w:sz w:val="18"/>
          <w:szCs w:val="16"/>
        </w:rPr>
        <w:t xml:space="preserve">How will you know if your improvement plan worked? In other words, what are your indicators of success or benchmark for improvement? </w:t>
      </w:r>
    </w:p>
    <w:p w:rsidR="001C1D03" w:rsidRDefault="00D66837" w:rsidP="00D04C25">
      <w:pPr>
        <w:pStyle w:val="ListParagraph"/>
        <w:rPr>
          <w:rFonts w:asciiTheme="minorHAnsi" w:hAnsiTheme="minorHAnsi"/>
          <w:b/>
        </w:rPr>
      </w:pPr>
      <w:r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 </w:t>
      </w:r>
    </w:p>
    <w:p w:rsidR="001C1D03" w:rsidRDefault="001C1D03" w:rsidP="00FA256A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293AB" wp14:editId="2407D905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6159062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0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39980" id="Straight Connector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3pt" to="484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E97B7D" w:rsidRDefault="00DE6E2B" w:rsidP="00FA256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Step 5: </w:t>
      </w:r>
      <w:r w:rsidR="00122BEF">
        <w:rPr>
          <w:rFonts w:asciiTheme="minorHAnsi" w:hAnsiTheme="minorHAnsi"/>
          <w:b/>
        </w:rPr>
        <w:t>Comparative Data</w:t>
      </w:r>
    </w:p>
    <w:p w:rsidR="00122BEF" w:rsidRDefault="00122BEF" w:rsidP="00122BEF">
      <w:pPr>
        <w:pStyle w:val="ListParagraph"/>
        <w:numPr>
          <w:ilvl w:val="0"/>
          <w:numId w:val="10"/>
        </w:numPr>
        <w:rPr>
          <w:rFonts w:asciiTheme="minorHAnsi" w:hAnsiTheme="minorHAnsi"/>
          <w:color w:val="AEAAAA" w:themeColor="background2" w:themeShade="BF"/>
          <w:sz w:val="18"/>
          <w:szCs w:val="16"/>
        </w:rPr>
      </w:pPr>
      <w:r w:rsidRPr="00124C4E">
        <w:rPr>
          <w:rFonts w:asciiTheme="minorHAnsi" w:hAnsiTheme="minorHAnsi"/>
          <w:color w:val="AEAAAA" w:themeColor="background2" w:themeShade="BF"/>
          <w:sz w:val="18"/>
          <w:szCs w:val="16"/>
        </w:rPr>
        <w:lastRenderedPageBreak/>
        <w:t>Summarize the comparative results</w:t>
      </w:r>
    </w:p>
    <w:p w:rsidR="00122BEF" w:rsidRDefault="0088761A" w:rsidP="00122BEF">
      <w:pPr>
        <w:rPr>
          <w:rFonts w:asciiTheme="minorHAnsi" w:hAnsiTheme="minorHAnsi"/>
          <w:color w:val="AEAAAA" w:themeColor="background2" w:themeShade="BF"/>
          <w:sz w:val="16"/>
          <w:szCs w:val="16"/>
        </w:rPr>
      </w:pPr>
      <w:r>
        <w:rPr>
          <w:rFonts w:asciiTheme="minorHAnsi" w:hAnsiTheme="minorHAnsi"/>
          <w:noProof/>
          <w:color w:val="AEAAAA" w:themeColor="background2" w:themeShade="BF"/>
          <w:sz w:val="16"/>
          <w:szCs w:val="16"/>
        </w:rPr>
        <w:drawing>
          <wp:inline distT="0" distB="0" distL="0" distR="0" wp14:anchorId="27FADE0F">
            <wp:extent cx="5919763" cy="1705244"/>
            <wp:effectExtent l="0" t="0" r="508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485" cy="1721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1378" w:rsidRPr="00691378" w:rsidRDefault="00691378" w:rsidP="00691378">
      <w:pPr>
        <w:jc w:val="center"/>
        <w:rPr>
          <w:rFonts w:asciiTheme="minorHAnsi" w:hAnsiTheme="minorHAnsi"/>
          <w:b/>
          <w:sz w:val="22"/>
          <w:szCs w:val="16"/>
        </w:rPr>
      </w:pPr>
      <w:r w:rsidRPr="00691378">
        <w:rPr>
          <w:rFonts w:asciiTheme="minorHAnsi" w:hAnsiTheme="minorHAnsi"/>
          <w:b/>
          <w:bCs/>
          <w:sz w:val="22"/>
          <w:szCs w:val="16"/>
        </w:rPr>
        <w:t xml:space="preserve">201720 FTE </w:t>
      </w:r>
      <w:r w:rsidRPr="00691378">
        <w:rPr>
          <w:rFonts w:asciiTheme="minorHAnsi" w:hAnsiTheme="minorHAnsi"/>
          <w:b/>
          <w:sz w:val="22"/>
          <w:szCs w:val="16"/>
        </w:rPr>
        <w:t>by Subject YTD Comparison</w:t>
      </w:r>
      <w:r w:rsidRPr="00691378">
        <w:rPr>
          <w:rFonts w:asciiTheme="minorHAnsi" w:hAnsiTheme="minorHAnsi"/>
          <w:b/>
          <w:sz w:val="22"/>
          <w:szCs w:val="16"/>
        </w:rPr>
        <w:br/>
        <w:t xml:space="preserve">FTE </w:t>
      </w:r>
      <w:r w:rsidRPr="00691378">
        <w:rPr>
          <w:rFonts w:asciiTheme="minorHAnsi" w:hAnsiTheme="minorHAnsi"/>
          <w:b/>
          <w:bCs/>
          <w:sz w:val="22"/>
          <w:szCs w:val="16"/>
        </w:rPr>
        <w:t>comparison</w:t>
      </w:r>
      <w:r w:rsidRPr="00691378">
        <w:rPr>
          <w:rFonts w:asciiTheme="minorHAnsi" w:hAnsiTheme="minorHAnsi"/>
          <w:b/>
          <w:sz w:val="22"/>
          <w:szCs w:val="16"/>
        </w:rPr>
        <w:t xml:space="preserve"> Oct2015 – oct2016</w:t>
      </w:r>
    </w:p>
    <w:p w:rsidR="00691378" w:rsidRDefault="00691378" w:rsidP="00122BEF">
      <w:pPr>
        <w:rPr>
          <w:rFonts w:asciiTheme="minorHAnsi" w:hAnsiTheme="minorHAnsi"/>
          <w:color w:val="AEAAAA" w:themeColor="background2" w:themeShade="BF"/>
          <w:sz w:val="16"/>
          <w:szCs w:val="16"/>
        </w:rPr>
      </w:pPr>
    </w:p>
    <w:p w:rsidR="00691378" w:rsidRDefault="00691378" w:rsidP="00122BEF">
      <w:pPr>
        <w:rPr>
          <w:rFonts w:asciiTheme="minorHAnsi" w:hAnsiTheme="minorHAnsi"/>
          <w:color w:val="AEAAAA" w:themeColor="background2" w:themeShade="BF"/>
          <w:sz w:val="16"/>
          <w:szCs w:val="16"/>
        </w:rPr>
      </w:pPr>
      <w:r w:rsidRPr="00691378">
        <w:rPr>
          <w:rFonts w:asciiTheme="minorHAnsi" w:hAnsiTheme="minorHAnsi"/>
          <w:color w:val="AEAAAA" w:themeColor="background2" w:themeShade="BF"/>
          <w:sz w:val="16"/>
          <w:szCs w:val="16"/>
        </w:rPr>
        <w:drawing>
          <wp:inline distT="0" distB="0" distL="0" distR="0" wp14:anchorId="354D013C" wp14:editId="7BB884B0">
            <wp:extent cx="5943600" cy="2834640"/>
            <wp:effectExtent l="0" t="0" r="0" b="3810"/>
            <wp:docPr id="9" name="Chart 9" descr="Clustered Column – Line Combination chart showing the values of 3 series for 4 categories. The first 2 series are columns and the 3rd series is the line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91378" w:rsidRPr="00691378" w:rsidRDefault="00691378" w:rsidP="00691378">
      <w:pPr>
        <w:jc w:val="center"/>
        <w:rPr>
          <w:rFonts w:asciiTheme="minorHAnsi" w:hAnsiTheme="minorHAnsi"/>
          <w:b/>
          <w:sz w:val="22"/>
          <w:szCs w:val="16"/>
        </w:rPr>
      </w:pPr>
      <w:r w:rsidRPr="00691378">
        <w:rPr>
          <w:rFonts w:asciiTheme="minorHAnsi" w:hAnsiTheme="minorHAnsi"/>
          <w:b/>
          <w:sz w:val="22"/>
          <w:szCs w:val="16"/>
        </w:rPr>
        <w:t>FTE COMPARISON</w:t>
      </w:r>
    </w:p>
    <w:p w:rsidR="00122BEF" w:rsidRDefault="00DE6E2B" w:rsidP="00122BE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  <w:t>Conclusions and future action</w:t>
      </w:r>
    </w:p>
    <w:p w:rsidR="00691378" w:rsidRDefault="00691378" w:rsidP="00122BEF">
      <w:pPr>
        <w:rPr>
          <w:rFonts w:asciiTheme="minorHAnsi" w:hAnsiTheme="minorHAnsi"/>
          <w:b/>
        </w:rPr>
      </w:pPr>
    </w:p>
    <w:p w:rsidR="00691378" w:rsidRPr="00122BEF" w:rsidRDefault="00691378" w:rsidP="00122BEF">
      <w:pPr>
        <w:rPr>
          <w:rFonts w:asciiTheme="minorHAnsi" w:hAnsiTheme="minorHAnsi"/>
          <w:color w:val="AEAAAA" w:themeColor="background2" w:themeShade="BF"/>
          <w:sz w:val="16"/>
          <w:szCs w:val="16"/>
        </w:rPr>
      </w:pPr>
    </w:p>
    <w:p w:rsidR="00DE6E2B" w:rsidRPr="00124C4E" w:rsidRDefault="00DE6E2B" w:rsidP="00DE6E2B">
      <w:pPr>
        <w:pStyle w:val="ListParagraph"/>
        <w:numPr>
          <w:ilvl w:val="0"/>
          <w:numId w:val="11"/>
        </w:numPr>
        <w:rPr>
          <w:rFonts w:asciiTheme="minorHAnsi" w:hAnsiTheme="minorHAnsi"/>
          <w:color w:val="AEAAAA" w:themeColor="background2" w:themeShade="BF"/>
          <w:sz w:val="18"/>
          <w:szCs w:val="16"/>
        </w:rPr>
      </w:pPr>
      <w:r w:rsidRPr="00124C4E">
        <w:rPr>
          <w:rFonts w:asciiTheme="minorHAnsi" w:hAnsiTheme="minorHAnsi"/>
          <w:color w:val="AEAAAA" w:themeColor="background2" w:themeShade="BF"/>
          <w:sz w:val="18"/>
          <w:szCs w:val="16"/>
        </w:rPr>
        <w:t xml:space="preserve">What conclusion can be drawn from the results?  What action will be taken based on the results? </w:t>
      </w:r>
    </w:p>
    <w:p w:rsidR="00122BEF" w:rsidRDefault="00122BEF" w:rsidP="00FA256A">
      <w:pPr>
        <w:rPr>
          <w:rFonts w:asciiTheme="minorHAnsi" w:hAnsiTheme="minorHAnsi"/>
          <w:b/>
        </w:rPr>
      </w:pPr>
    </w:p>
    <w:p w:rsidR="00122BEF" w:rsidRDefault="00122BEF" w:rsidP="00FA256A">
      <w:pPr>
        <w:rPr>
          <w:rFonts w:asciiTheme="minorHAnsi" w:hAnsiTheme="minorHAnsi"/>
          <w:b/>
        </w:rPr>
      </w:pPr>
    </w:p>
    <w:p w:rsidR="00F870FA" w:rsidRDefault="00F870FA" w:rsidP="001F008E">
      <w:pPr>
        <w:rPr>
          <w:rFonts w:asciiTheme="minorHAnsi" w:hAnsiTheme="minorHAnsi"/>
          <w:sz w:val="20"/>
          <w:szCs w:val="20"/>
        </w:rPr>
      </w:pPr>
    </w:p>
    <w:sectPr w:rsidR="00F870FA" w:rsidSect="00EA0A4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5B05"/>
    <w:multiLevelType w:val="hybridMultilevel"/>
    <w:tmpl w:val="046E2B02"/>
    <w:lvl w:ilvl="0" w:tplc="18AE3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EAAAA" w:themeColor="background2" w:themeShade="B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7E0"/>
    <w:multiLevelType w:val="hybridMultilevel"/>
    <w:tmpl w:val="31200150"/>
    <w:lvl w:ilvl="0" w:tplc="DB76DB7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66E9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D606B3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9AE46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F41DC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16DE9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82A85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222B5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324E3F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C130CA3"/>
    <w:multiLevelType w:val="hybridMultilevel"/>
    <w:tmpl w:val="D99CE218"/>
    <w:lvl w:ilvl="0" w:tplc="18AE3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EAAAA" w:themeColor="background2" w:themeShade="B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05595"/>
    <w:multiLevelType w:val="hybridMultilevel"/>
    <w:tmpl w:val="FEFE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774CC"/>
    <w:multiLevelType w:val="hybridMultilevel"/>
    <w:tmpl w:val="369A11F0"/>
    <w:lvl w:ilvl="0" w:tplc="18AE3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EAAAA" w:themeColor="background2" w:themeShade="B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239AF"/>
    <w:multiLevelType w:val="hybridMultilevel"/>
    <w:tmpl w:val="60A06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D2D5E"/>
    <w:multiLevelType w:val="hybridMultilevel"/>
    <w:tmpl w:val="5AFCC9AC"/>
    <w:lvl w:ilvl="0" w:tplc="8398DC4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240C54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A4A5A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56ED5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20A50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D274B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3DA552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C2BF1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2A45D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5410C86"/>
    <w:multiLevelType w:val="hybridMultilevel"/>
    <w:tmpl w:val="A37AF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25CB3"/>
    <w:multiLevelType w:val="hybridMultilevel"/>
    <w:tmpl w:val="1CB4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02189"/>
    <w:multiLevelType w:val="hybridMultilevel"/>
    <w:tmpl w:val="4A46B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878B2"/>
    <w:multiLevelType w:val="hybridMultilevel"/>
    <w:tmpl w:val="439C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87392"/>
    <w:multiLevelType w:val="hybridMultilevel"/>
    <w:tmpl w:val="D99CE218"/>
    <w:lvl w:ilvl="0" w:tplc="18AE3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EAAAA" w:themeColor="background2" w:themeShade="B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B6272"/>
    <w:multiLevelType w:val="hybridMultilevel"/>
    <w:tmpl w:val="3EE68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4"/>
  </w:num>
  <w:num w:numId="8">
    <w:abstractNumId w:val="0"/>
  </w:num>
  <w:num w:numId="9">
    <w:abstractNumId w:val="2"/>
  </w:num>
  <w:num w:numId="10">
    <w:abstractNumId w:val="11"/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E4"/>
    <w:rsid w:val="00043C72"/>
    <w:rsid w:val="000502D1"/>
    <w:rsid w:val="00052BE4"/>
    <w:rsid w:val="00075BC6"/>
    <w:rsid w:val="00081163"/>
    <w:rsid w:val="000A6CB2"/>
    <w:rsid w:val="001057C5"/>
    <w:rsid w:val="00122BEF"/>
    <w:rsid w:val="00124C4E"/>
    <w:rsid w:val="001433C8"/>
    <w:rsid w:val="001B6D9A"/>
    <w:rsid w:val="001C1D03"/>
    <w:rsid w:val="001F008E"/>
    <w:rsid w:val="001F0107"/>
    <w:rsid w:val="00203AB4"/>
    <w:rsid w:val="00242A49"/>
    <w:rsid w:val="002C020D"/>
    <w:rsid w:val="002F42D9"/>
    <w:rsid w:val="0031140E"/>
    <w:rsid w:val="00327CD6"/>
    <w:rsid w:val="00366083"/>
    <w:rsid w:val="003B51AF"/>
    <w:rsid w:val="00433441"/>
    <w:rsid w:val="00483652"/>
    <w:rsid w:val="005220E1"/>
    <w:rsid w:val="0054467A"/>
    <w:rsid w:val="00557DA0"/>
    <w:rsid w:val="00590269"/>
    <w:rsid w:val="00593864"/>
    <w:rsid w:val="005A0462"/>
    <w:rsid w:val="00635FB0"/>
    <w:rsid w:val="0063653A"/>
    <w:rsid w:val="0064339A"/>
    <w:rsid w:val="00690845"/>
    <w:rsid w:val="00691378"/>
    <w:rsid w:val="006A37AA"/>
    <w:rsid w:val="006B4522"/>
    <w:rsid w:val="006B55A1"/>
    <w:rsid w:val="006C64BD"/>
    <w:rsid w:val="006E770D"/>
    <w:rsid w:val="00716D27"/>
    <w:rsid w:val="00794A74"/>
    <w:rsid w:val="007A1EE4"/>
    <w:rsid w:val="007D7CC2"/>
    <w:rsid w:val="00806BE7"/>
    <w:rsid w:val="008730D3"/>
    <w:rsid w:val="0088164D"/>
    <w:rsid w:val="0088761A"/>
    <w:rsid w:val="008A323F"/>
    <w:rsid w:val="00916E4D"/>
    <w:rsid w:val="00947BD3"/>
    <w:rsid w:val="00962D61"/>
    <w:rsid w:val="009E1D8D"/>
    <w:rsid w:val="00A20BA4"/>
    <w:rsid w:val="00A4422C"/>
    <w:rsid w:val="00A5470E"/>
    <w:rsid w:val="00A66EE2"/>
    <w:rsid w:val="00A73651"/>
    <w:rsid w:val="00AD6028"/>
    <w:rsid w:val="00AE7124"/>
    <w:rsid w:val="00B52087"/>
    <w:rsid w:val="00B706D5"/>
    <w:rsid w:val="00B7574E"/>
    <w:rsid w:val="00B96C93"/>
    <w:rsid w:val="00BB2E74"/>
    <w:rsid w:val="00C918C2"/>
    <w:rsid w:val="00CF2F0E"/>
    <w:rsid w:val="00D04C25"/>
    <w:rsid w:val="00D53769"/>
    <w:rsid w:val="00D62547"/>
    <w:rsid w:val="00D66837"/>
    <w:rsid w:val="00DC2DB4"/>
    <w:rsid w:val="00DD6944"/>
    <w:rsid w:val="00DE6E2B"/>
    <w:rsid w:val="00DF0161"/>
    <w:rsid w:val="00E0443B"/>
    <w:rsid w:val="00E04B69"/>
    <w:rsid w:val="00E327B3"/>
    <w:rsid w:val="00E43C72"/>
    <w:rsid w:val="00E55279"/>
    <w:rsid w:val="00E97B7D"/>
    <w:rsid w:val="00EA0A42"/>
    <w:rsid w:val="00F8163B"/>
    <w:rsid w:val="00F870FA"/>
    <w:rsid w:val="00FA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CA859-4C44-4AA0-B9D1-5617D16F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1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EE4"/>
    <w:pPr>
      <w:ind w:left="720"/>
      <w:contextualSpacing/>
    </w:pPr>
  </w:style>
  <w:style w:type="paragraph" w:customStyle="1" w:styleId="Default">
    <w:name w:val="Default"/>
    <w:rsid w:val="00557DA0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table" w:styleId="TableGrid">
    <w:name w:val="Table Grid"/>
    <w:basedOn w:val="TableNormal"/>
    <w:uiPriority w:val="59"/>
    <w:rsid w:val="001F008E"/>
    <w:rPr>
      <w:rFonts w:ascii="Arial" w:hAnsi="Arial" w:cs="Arial"/>
      <w:color w:val="171717" w:themeColor="background2" w:themeShade="1A"/>
      <w:spacing w:val="24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C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E71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294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893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24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19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47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088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34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AEC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3.9</c:v>
                </c:pt>
                <c:pt idx="1">
                  <c:v>5.4</c:v>
                </c:pt>
                <c:pt idx="2">
                  <c:v>6</c:v>
                </c:pt>
                <c:pt idx="3">
                  <c:v>9.9</c:v>
                </c:pt>
                <c:pt idx="4">
                  <c:v>9.8000000000000007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43E-4636-9268-2214CA86F52A}"/>
            </c:ext>
          </c:extLst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CAD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  <c:pt idx="0">
                  <c:v>47.5</c:v>
                </c:pt>
                <c:pt idx="1">
                  <c:v>47.8</c:v>
                </c:pt>
                <c:pt idx="2">
                  <c:v>46.6</c:v>
                </c:pt>
                <c:pt idx="3">
                  <c:v>52.8</c:v>
                </c:pt>
                <c:pt idx="4">
                  <c:v>66.599999999999994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43E-4636-9268-2214CA86F52A}"/>
            </c:ext>
          </c:extLst>
        </c:ser>
        <c:ser>
          <c:idx val="2"/>
          <c:order val="2"/>
          <c:tx>
            <c:strRef>
              <c:f>Sheet1!$E$1</c:f>
              <c:strCache>
                <c:ptCount val="1"/>
                <c:pt idx="0">
                  <c:v>EGT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Sheet1!$E$2:$E$6</c:f>
              <c:numCache>
                <c:formatCode>General</c:formatCode>
                <c:ptCount val="5"/>
                <c:pt idx="0">
                  <c:v>9.8000000000000007</c:v>
                </c:pt>
                <c:pt idx="1">
                  <c:v>11.9</c:v>
                </c:pt>
                <c:pt idx="2">
                  <c:v>12.3</c:v>
                </c:pt>
                <c:pt idx="3">
                  <c:v>9.1999999999999993</c:v>
                </c:pt>
                <c:pt idx="4">
                  <c:v>10.1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43E-4636-9268-2214CA86F52A}"/>
            </c:ext>
          </c:extLst>
        </c:ser>
        <c:ser>
          <c:idx val="3"/>
          <c:order val="3"/>
          <c:tx>
            <c:strRef>
              <c:f>Sheet1!$F$1</c:f>
              <c:strCache>
                <c:ptCount val="1"/>
                <c:pt idx="0">
                  <c:v>TOTALS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4"/>
                </a:solidFill>
              </a:ln>
              <a:effectLst/>
            </c:spPr>
            <c:trendlineType val="linear"/>
            <c:dispRSqr val="0"/>
            <c:dispEq val="0"/>
          </c:trendline>
          <c:cat>
            <c:numRef>
              <c:f>Sheet1!$A$2:$A$6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Sheet1!$F$2:$F$6</c:f>
              <c:numCache>
                <c:formatCode>General</c:formatCode>
                <c:ptCount val="5"/>
                <c:pt idx="0">
                  <c:v>57.3</c:v>
                </c:pt>
                <c:pt idx="1">
                  <c:v>59.8</c:v>
                </c:pt>
                <c:pt idx="2">
                  <c:v>58.8</c:v>
                </c:pt>
                <c:pt idx="3">
                  <c:v>62</c:v>
                </c:pt>
                <c:pt idx="4">
                  <c:v>76.7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7"/>
        <c:axId val="752599512"/>
        <c:axId val="752599120"/>
      </c:barChart>
      <c:lineChart>
        <c:grouping val="standar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52599512"/>
        <c:axId val="752599120"/>
        <c:extLst>
          <c:ext xmlns:c15="http://schemas.microsoft.com/office/drawing/2012/chart" uri="{02D57815-91ED-43cb-92C2-25804820EDAC}">
            <c15:filteredLineSeries>
              <c15:ser>
                <c:idx val="4"/>
                <c:order val="4"/>
                <c:tx>
                  <c:v>EGT2</c:v>
                </c:tx>
                <c:spPr>
                  <a:ln w="22225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none"/>
                </c:marker>
                <c:val>
                  <c:numLit>
                    <c:formatCode>General</c:formatCode>
                    <c:ptCount val="1"/>
                    <c:pt idx="0">
                      <c:v>1</c:v>
                    </c:pt>
                  </c:numLit>
                </c:val>
                <c:smooth val="0"/>
              </c15:ser>
            </c15:filteredLineSeries>
          </c:ext>
        </c:extLst>
      </c:lineChart>
      <c:catAx>
        <c:axId val="7525995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2599120"/>
        <c:crosses val="autoZero"/>
        <c:auto val="1"/>
        <c:lblAlgn val="ctr"/>
        <c:lblOffset val="100"/>
        <c:noMultiLvlLbl val="0"/>
      </c:catAx>
      <c:valAx>
        <c:axId val="752599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25995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1064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197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64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1197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2128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Lacroix, Nicole</dc:creator>
  <cp:keywords/>
  <dc:description/>
  <cp:lastModifiedBy>Ochoa, Delia</cp:lastModifiedBy>
  <cp:revision>14</cp:revision>
  <cp:lastPrinted>2017-04-25T18:02:00Z</cp:lastPrinted>
  <dcterms:created xsi:type="dcterms:W3CDTF">2017-04-28T17:06:00Z</dcterms:created>
  <dcterms:modified xsi:type="dcterms:W3CDTF">2017-04-28T17:18:00Z</dcterms:modified>
</cp:coreProperties>
</file>